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BC" w:rsidRDefault="002A29D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 складу са чл. 38 Закона о удружењима („Службени гласник РС”, бр. 51/09 и 99/11), чл. 5. Уредбе о средствима за подстицање програма или недостајућег дела средстава за финансирање програма од јавног интереса која реализују удружења  (''Сл. гласник РС'' бр.8/2012, 94/13 и 93/15), Уредбе о критеријумима, мерилима и начину избора пројеката у култури који се финансирају и суфинансирају из буџета РС, аутономне покрајине и јединице локалне самоуправе („Службени гласник РС”, бр. 105/16), члан 30. Одлуке о Општинском већу Општине Владичин  Хан („Службени гласник Пчињског округа”, број 23/08)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51.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40/13),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максималном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утврђеном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финансирају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суфинансирају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58AF">
        <w:rPr>
          <w:rFonts w:ascii="Times New Roman" w:hAnsi="Times New Roman"/>
          <w:bCs/>
          <w:sz w:val="24"/>
          <w:szCs w:val="24"/>
        </w:rPr>
        <w:t>број</w:t>
      </w:r>
      <w:proofErr w:type="spellEnd"/>
      <w:r w:rsidRPr="00F258AF">
        <w:rPr>
          <w:rFonts w:ascii="Times New Roman" w:hAnsi="Times New Roman"/>
          <w:bCs/>
          <w:sz w:val="24"/>
          <w:szCs w:val="24"/>
        </w:rPr>
        <w:t xml:space="preserve"> </w:t>
      </w:r>
      <w:r w:rsidR="003C5A49" w:rsidRPr="00F258AF">
        <w:rPr>
          <w:rFonts w:ascii="Times New Roman" w:hAnsi="Times New Roman"/>
          <w:bCs/>
          <w:sz w:val="24"/>
          <w:szCs w:val="24"/>
          <w:lang w:val="sr-Cyrl-CS"/>
        </w:rPr>
        <w:t>06-225/</w:t>
      </w:r>
      <w:r w:rsidR="000653DA" w:rsidRPr="00F258AF">
        <w:rPr>
          <w:rFonts w:ascii="Times New Roman" w:hAnsi="Times New Roman"/>
          <w:bCs/>
          <w:sz w:val="24"/>
          <w:szCs w:val="24"/>
          <w:lang w:val="sr-Cyrl-CS"/>
        </w:rPr>
        <w:t>6/</w:t>
      </w:r>
      <w:r w:rsidR="003C5A49" w:rsidRPr="00F258AF">
        <w:rPr>
          <w:rFonts w:ascii="Times New Roman" w:hAnsi="Times New Roman"/>
          <w:bCs/>
          <w:sz w:val="24"/>
          <w:szCs w:val="24"/>
          <w:lang w:val="sr-Cyrl-CS"/>
        </w:rPr>
        <w:t>17-</w:t>
      </w:r>
      <w:r w:rsidR="003C5A49" w:rsidRPr="00F258AF">
        <w:rPr>
          <w:rFonts w:ascii="Times New Roman" w:hAnsi="Times New Roman"/>
          <w:bCs/>
          <w:sz w:val="24"/>
          <w:szCs w:val="24"/>
          <w:lang w:val="sr-Latn-CS"/>
        </w:rPr>
        <w:t>III</w:t>
      </w:r>
      <w:r w:rsidRPr="00F258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5A49" w:rsidRPr="00F258AF">
        <w:rPr>
          <w:rFonts w:ascii="Times New Roman" w:hAnsi="Times New Roman"/>
          <w:bCs/>
          <w:sz w:val="24"/>
          <w:szCs w:val="24"/>
        </w:rPr>
        <w:t>27.12</w:t>
      </w:r>
      <w:r w:rsidRPr="00F258AF">
        <w:rPr>
          <w:rFonts w:ascii="Times New Roman" w:hAnsi="Times New Roman"/>
          <w:bCs/>
          <w:sz w:val="24"/>
          <w:szCs w:val="24"/>
        </w:rPr>
        <w:t>.2017</w:t>
      </w:r>
      <w:r w:rsidRPr="000653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године </w:t>
      </w:r>
      <w:proofErr w:type="spellStart"/>
      <w:r>
        <w:rPr>
          <w:rFonts w:ascii="Times New Roman" w:hAnsi="Times New Roman"/>
          <w:sz w:val="24"/>
          <w:szCs w:val="24"/>
        </w:rPr>
        <w:t>расписује</w:t>
      </w:r>
      <w:proofErr w:type="spellEnd"/>
    </w:p>
    <w:p w:rsidR="00646DBC" w:rsidRDefault="002A29DE">
      <w:pPr>
        <w:spacing w:before="12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ЈАВНИ ПОЗИВ</w:t>
      </w:r>
    </w:p>
    <w:p w:rsidR="00646DBC" w:rsidRDefault="002A29DE">
      <w:pPr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за избор пројеката  у култури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који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финансирају или суфинансирајусредствима  буџета Општине Владичин Хан за 201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8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.годину</w:t>
      </w:r>
    </w:p>
    <w:p w:rsidR="00646DBC" w:rsidRDefault="00646DBC">
      <w:pPr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</w:p>
    <w:p w:rsidR="00646DBC" w:rsidRDefault="002A29DE">
      <w:pPr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ПРЕДМЕТ ЈАВНОГ ПОЗИВА</w:t>
      </w:r>
    </w:p>
    <w:p w:rsidR="00646DBC" w:rsidRDefault="002A29D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Предмет јавног позива је финансирање и суфинансирање пројеката кулурне делатности у следећим областима:</w:t>
      </w:r>
    </w:p>
    <w:p w:rsidR="00646DBC" w:rsidRDefault="002A29D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Књижевно стваралаштво,</w:t>
      </w:r>
    </w:p>
    <w:p w:rsidR="00646DBC" w:rsidRDefault="002A29D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Уметничка игра – стваралаштво, продукција и интерпретација и</w:t>
      </w:r>
    </w:p>
    <w:p w:rsidR="00646DBC" w:rsidRDefault="002A29D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Вредновање, заштита, очување, представљање, интерпретација и управљање културним наслеђем.</w:t>
      </w:r>
    </w:p>
    <w:p w:rsidR="00646DBC" w:rsidRDefault="002A29D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Општи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допринос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неговању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културно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историјске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традиције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народног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стваралаштва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материјалну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појединцима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уметничким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46DBC" w:rsidRDefault="00646DBC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46DBC" w:rsidRDefault="002A29DE">
      <w:pP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ПРАВО УЧЕШЋА НА ЈАВНОМ ПОЗИВУ</w:t>
      </w:r>
    </w:p>
    <w:p w:rsidR="00646DBC" w:rsidRDefault="002A29DE">
      <w:pPr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По јавном позиву пријаве могу подносити установе,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културно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уметничка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друштва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удружења грађана регистрована за обављање делатности културе, појединци, 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 или јединица локалне самоуправе:</w:t>
      </w:r>
    </w:p>
    <w:p w:rsidR="00646DBC" w:rsidRDefault="002A29DE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Који  су регистровани у складу са Законом о удружењима („Службени гласник РС”, бр. 51/09), чије је регистровано седиште на територији општине Владичин Хан;</w:t>
      </w:r>
    </w:p>
    <w:p w:rsidR="00646DBC" w:rsidRDefault="002A29DE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који су директно одговорни за припрему и извођење пројекта; </w:t>
      </w:r>
    </w:p>
    <w:p w:rsidR="00646DBC" w:rsidRDefault="002A29DE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Којима је статутом одређено остваривање циљева у области за коју је конкурс расписан и за коју конкуришу;</w:t>
      </w:r>
    </w:p>
    <w:p w:rsidR="00646DBC" w:rsidRDefault="002A29DE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који су поднели годишњи извештај за претходну буџетску годину у складу са уговором о реализовању програма / пројекта, уколико је било носилац програма / пројекта претходне године, и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lastRenderedPageBreak/>
        <w:t>ако су остварени очекивани резултати реализације програма / пројекта, то јест они који су поднели годишњи финансијски извештај Агенцији за привредне регистре;</w:t>
      </w:r>
    </w:p>
    <w:p w:rsidR="00646DBC" w:rsidRDefault="002A29DE">
      <w:pPr>
        <w:numPr>
          <w:ilvl w:val="0"/>
          <w:numId w:val="1"/>
        </w:numPr>
        <w:tabs>
          <w:tab w:val="left" w:pos="720"/>
          <w:tab w:val="left" w:pos="1440"/>
        </w:tabs>
        <w:spacing w:before="120" w:after="12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који нису у поступку ликвидације, стечајном поступку или под привременом забраном обављања делатности; </w:t>
      </w:r>
    </w:p>
    <w:p w:rsidR="00646DBC" w:rsidRDefault="00646DBC">
      <w:pPr>
        <w:tabs>
          <w:tab w:val="left" w:pos="720"/>
          <w:tab w:val="left" w:pos="1440"/>
        </w:tabs>
        <w:spacing w:before="120" w:after="12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</w:p>
    <w:p w:rsidR="00646DBC" w:rsidRDefault="002A29DE">
      <w:pP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Општина Владичин Хан  неће финансирати:</w:t>
      </w:r>
    </w:p>
    <w:p w:rsidR="00646DBC" w:rsidRDefault="002A29DE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путовањима,финансирање студија и за сличне активности,</w:t>
      </w:r>
    </w:p>
    <w:p w:rsidR="00646DBC" w:rsidRDefault="002A29DE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Пројектее чије су пројектне  активности награде и спонзорства појединцима и другим организацијама,</w:t>
      </w:r>
    </w:p>
    <w:p w:rsidR="00646DBC" w:rsidRDefault="002A29DE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Иницијативе које доносе профит НВО,</w:t>
      </w:r>
    </w:p>
    <w:p w:rsidR="00646DBC" w:rsidRDefault="002A29DE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Политичке и страначке организације, верске организације,групе и секте и њиховеактивности,</w:t>
      </w:r>
    </w:p>
    <w:p w:rsidR="00646DBC" w:rsidRDefault="002A29DE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 које заговарају нетолерантност и насиље,</w:t>
      </w:r>
    </w:p>
    <w:p w:rsidR="00646DBC" w:rsidRDefault="002A29DE">
      <w:pPr>
        <w:numPr>
          <w:ilvl w:val="0"/>
          <w:numId w:val="2"/>
        </w:numPr>
        <w:spacing w:before="120" w:after="120"/>
        <w:ind w:left="720" w:hanging="360"/>
        <w:jc w:val="both"/>
        <w:rPr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 које се односе на проповедање или заговарање одређене религије</w:t>
      </w:r>
      <w:r>
        <w:rPr>
          <w:szCs w:val="24"/>
        </w:rPr>
        <w:t>,</w:t>
      </w:r>
    </w:p>
    <w:p w:rsidR="00646DBC" w:rsidRDefault="00646DBC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6DBC" w:rsidRDefault="002A29DE">
      <w:pP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ИЗНОС СРЕДСТАВА ПРЕДВИЂЕНИХ ЗА ДОДЕЛУ ПО ЈАВНОМ КОНКУРСУ</w:t>
      </w:r>
    </w:p>
    <w:p w:rsidR="00646DBC" w:rsidRDefault="002A29DE">
      <w:pPr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Укупан износ средстава планиран за финансирање и суфинансирање пројеката из буџета општине Владичин Хан у 201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. години износи </w:t>
      </w:r>
      <w:r w:rsidRPr="004D5C73">
        <w:rPr>
          <w:rFonts w:ascii="Times New Roman CYR" w:hAnsi="Times New Roman CYR" w:cs="Times New Roman CYR"/>
          <w:b/>
          <w:color w:val="000000"/>
          <w:sz w:val="24"/>
          <w:szCs w:val="24"/>
          <w:lang w:val="en-US"/>
        </w:rPr>
        <w:t>2.000.000</w:t>
      </w:r>
      <w:r w:rsidR="00651049">
        <w:rPr>
          <w:rFonts w:ascii="Times New Roman CYR" w:hAnsi="Times New Roman CYR" w:cs="Times New Roman CYR"/>
          <w:b/>
          <w:color w:val="000000"/>
          <w:sz w:val="24"/>
          <w:szCs w:val="24"/>
          <w:lang w:val="en-US"/>
        </w:rPr>
        <w:t>,00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динара. </w:t>
      </w:r>
    </w:p>
    <w:p w:rsidR="00646DBC" w:rsidRDefault="002A29DE">
      <w:pPr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У зависности од квалитета предлога пројекта Комисија ће одредити број пројеката који ће бити подржани и висину средстава којима ће се одређени пројекат финанасирати  из буџета општине Владичин Хан. Уколико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износ одобрених средстава разликује од тражених средстава за финансиранје пројекта, комисија ће накнадно затражити од подносиоца пројекта да се буџет пројекта усагласи са одобреним средствима за финансирање.</w:t>
      </w:r>
    </w:p>
    <w:p w:rsidR="00646DBC" w:rsidRDefault="00646DBC">
      <w:pPr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</w:p>
    <w:p w:rsidR="00646DBC" w:rsidRDefault="002A29DE">
      <w:pP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РОК РЕАЛИЗАЦИЈЕ ПРОГРАМА</w:t>
      </w:r>
    </w:p>
    <w:p w:rsidR="00646DBC" w:rsidRDefault="002A29DE">
      <w:pPr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Средства се додељују за пројекте који ће се реализовати најкасније до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31.децембра 2018.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године.</w:t>
      </w:r>
    </w:p>
    <w:p w:rsidR="00646DBC" w:rsidRDefault="00646DBC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6DBC" w:rsidRDefault="002A29DE">
      <w:pPr>
        <w:spacing w:before="120"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bg-BG"/>
        </w:rPr>
        <w:t>МЕРНИЦЕ ЗА ПОДНОСИОЦЕ ПРЕДЛОГА ПРОЈЕКТА</w:t>
      </w:r>
    </w:p>
    <w:p w:rsidR="00646DBC" w:rsidRDefault="00646DBC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DBC" w:rsidRDefault="002A29DE">
      <w:pP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ДОКУМЕНТАЦИЈА КОЈА СЕ ПОДНОСИ ПО ЈАВНОМ ПОЗИВУ</w:t>
      </w:r>
    </w:p>
    <w:p w:rsidR="00646DBC" w:rsidRDefault="002A29DE">
      <w:pPr>
        <w:spacing w:before="120" w:after="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Предлагач пројекта обавезан је да достави следећу документацију: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попуњен образац за пријаву по јавном позиву (Анекс 1)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попуњен образац за писање предлога пројеката (Анекс 2);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попуњен предлог буџета пројекта (Анекс 3);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попуњен образац наративног буџета програма (Анекс 4);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потписану и оверену изјаву овлашћеног лица да ће средства користити по приложеном програму(Анекс 5);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оверену копију уверења (потврду, извод) да је удружење уписано у регистар надлежног органа - Агенције за привредне регистре;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доказ о ликвидности удружења, односно извештај о финансијско-материјалном пословању за претходну годину;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доказ о суфинансирању од партнерске или донаторске организације, ако се пројекат тако реализује;</w:t>
      </w:r>
    </w:p>
    <w:p w:rsidR="00646DBC" w:rsidRDefault="002A29DE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потписане и оверене протоколе о сарадњи са свим наведеним партнерима на пројекту ако се пројекат тако реализује;</w:t>
      </w:r>
    </w:p>
    <w:p w:rsidR="00646DBC" w:rsidRDefault="002A29D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Удружење грађана може поднети једну пријаву по јавном позиву за избор пројеката у култури који се  финансирају  из буџета општине Владичин Хан.</w:t>
      </w:r>
    </w:p>
    <w:p w:rsidR="00646DBC" w:rsidRDefault="00646D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6DBC" w:rsidRDefault="002A29DE">
      <w:pPr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Пројекат се мора реализовати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највећој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мери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 на територији општине Владичин Хан.</w:t>
      </w:r>
    </w:p>
    <w:p w:rsidR="00646DBC" w:rsidRDefault="00646DBC">
      <w:pPr>
        <w:rPr>
          <w:rFonts w:ascii="Times New Roman CYR" w:hAnsi="Times New Roman CYR" w:cs="Times New Roman CYR"/>
          <w:sz w:val="24"/>
          <w:szCs w:val="24"/>
          <w:lang w:val="bg-BG"/>
        </w:rPr>
      </w:pPr>
    </w:p>
    <w:p w:rsidR="00646DBC" w:rsidRDefault="002A29DE">
      <w:pP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НАЧИН ПРИЈАВЉИВАЊА ПО ЈАВНОМ ПОЗИВУ</w:t>
      </w:r>
    </w:p>
    <w:p w:rsidR="00646DBC" w:rsidRDefault="002A29DE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Конкурсна документација се може преузети са званичне интернет странице општине Владичин Хан (</w:t>
      </w:r>
      <w:hyperlink r:id="rId5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  <w:lang w:val="bg-BG"/>
          </w:rPr>
          <w:t>www.vladicinhan.org.rs</w:t>
        </w:r>
      </w:hyperlink>
      <w:r>
        <w:rPr>
          <w:rFonts w:ascii="Times New Roman CYR" w:hAnsi="Times New Roman CYR" w:cs="Times New Roman CYR"/>
          <w:sz w:val="24"/>
          <w:szCs w:val="24"/>
          <w:lang w:val="bg-BG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46DBC" w:rsidRDefault="002A29DE">
      <w:pPr>
        <w:spacing w:after="0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Оверена и попуњена пријава са попуњеним пратећим обрасцима и конкурсном документацијом, у штампаној и дигиталној форми (на компакт диску - CD), предаје се лично у затвореној коверти на писарници Општинске управе Владичин Хан, улица Светосавска бр.1, са назнаком: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"Пријава по јавном позиву за избор пројеката  у култури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који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финансирају или суфинансирају средствима  буџета Општине Владичин Хан за 201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8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. годину - не отварати".</w:t>
      </w:r>
    </w:p>
    <w:p w:rsidR="00646DBC" w:rsidRDefault="002A29DE">
      <w:pPr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Комисија неће разматрати неблаговремене, непотпуне и пријаве које нису предате на прописаним обрасцима.</w:t>
      </w:r>
    </w:p>
    <w:p w:rsidR="00646DBC" w:rsidRDefault="00646DBC">
      <w:pPr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</w:p>
    <w:p w:rsidR="00646DBC" w:rsidRDefault="002A29D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РОКОВИ ЗА ПОДНОШЕЊЕ ПРИЈАВА ПО ЈАВНОМ  ПОЗИВУ И ОДЛУЧИВАЊЕ О ДОДЕЛИ СРЕДСТАВА </w:t>
      </w:r>
    </w:p>
    <w:p w:rsidR="00646DBC" w:rsidRDefault="002A29DE">
      <w:pPr>
        <w:pStyle w:val="ListParagraph"/>
        <w:numPr>
          <w:ilvl w:val="0"/>
          <w:numId w:val="4"/>
        </w:numPr>
        <w:ind w:left="720" w:hanging="36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и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у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штампаном</w:t>
      </w:r>
      <w:proofErr w:type="spellEnd"/>
      <w:r>
        <w:t xml:space="preserve"> </w:t>
      </w:r>
      <w:proofErr w:type="spellStart"/>
      <w:r>
        <w:t>медију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46DBC" w:rsidRDefault="002A29DE">
      <w:pPr>
        <w:pStyle w:val="ListParagraph"/>
        <w:numPr>
          <w:ilvl w:val="0"/>
          <w:numId w:val="4"/>
        </w:numPr>
        <w:ind w:left="720" w:hanging="360"/>
      </w:pPr>
      <w:proofErr w:type="spellStart"/>
      <w:r>
        <w:lastRenderedPageBreak/>
        <w:t>Листа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а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.</w:t>
      </w:r>
    </w:p>
    <w:p w:rsidR="00646DBC" w:rsidRDefault="002A29DE">
      <w:pPr>
        <w:pStyle w:val="ListParagraph"/>
        <w:numPr>
          <w:ilvl w:val="0"/>
          <w:numId w:val="4"/>
        </w:numPr>
        <w:ind w:left="720" w:hanging="36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(8)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>;</w:t>
      </w:r>
    </w:p>
    <w:p w:rsidR="00646DBC" w:rsidRDefault="002A29DE">
      <w:pPr>
        <w:pStyle w:val="ListParagraph"/>
        <w:numPr>
          <w:ilvl w:val="0"/>
          <w:numId w:val="4"/>
        </w:numPr>
        <w:ind w:left="720" w:hanging="360"/>
      </w:pPr>
      <w:proofErr w:type="spellStart"/>
      <w:r>
        <w:t>Коначну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додељују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, </w:t>
      </w:r>
      <w:proofErr w:type="spellStart"/>
      <w:r>
        <w:t>донеће</w:t>
      </w:r>
      <w:proofErr w:type="spellEnd"/>
      <w:r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.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46DBC" w:rsidRDefault="002A29DE">
      <w:pPr>
        <w:pStyle w:val="ListParagraph"/>
        <w:numPr>
          <w:ilvl w:val="0"/>
          <w:numId w:val="4"/>
        </w:numPr>
        <w:spacing w:before="60" w:after="60"/>
        <w:ind w:left="720" w:hanging="360"/>
        <w:rPr>
          <w:color w:val="000000"/>
          <w:spacing w:val="-4"/>
          <w:szCs w:val="24"/>
        </w:rPr>
      </w:pPr>
      <w:proofErr w:type="spellStart"/>
      <w:r>
        <w:rPr>
          <w:color w:val="000000"/>
          <w:spacing w:val="-4"/>
          <w:szCs w:val="24"/>
        </w:rPr>
        <w:t>Општина</w:t>
      </w:r>
      <w:r w:rsidR="003C5A49">
        <w:t>Владичин</w:t>
      </w:r>
      <w:r>
        <w:t>Хан</w:t>
      </w:r>
      <w:proofErr w:type="spellEnd"/>
      <w:r w:rsidR="000653DA">
        <w:rPr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као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давалац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средстава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за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држава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право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да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од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подносиоца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пријава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по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потреби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затражи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додатну</w:t>
      </w:r>
      <w:proofErr w:type="spellEnd"/>
      <w:r w:rsidR="000653DA">
        <w:rPr>
          <w:color w:val="000000"/>
          <w:spacing w:val="-4"/>
          <w:szCs w:val="24"/>
          <w:lang w:val="sr-Cyrl-CS"/>
        </w:rPr>
        <w:t xml:space="preserve"> </w:t>
      </w:r>
      <w:proofErr w:type="spellStart"/>
      <w:r>
        <w:rPr>
          <w:color w:val="000000"/>
          <w:spacing w:val="-4"/>
          <w:szCs w:val="24"/>
        </w:rPr>
        <w:t>документацију</w:t>
      </w:r>
      <w:proofErr w:type="spellEnd"/>
      <w:r>
        <w:rPr>
          <w:color w:val="000000"/>
          <w:spacing w:val="-4"/>
          <w:szCs w:val="24"/>
        </w:rPr>
        <w:t xml:space="preserve"> и </w:t>
      </w:r>
      <w:proofErr w:type="spellStart"/>
      <w:r>
        <w:rPr>
          <w:color w:val="000000"/>
          <w:spacing w:val="-4"/>
          <w:szCs w:val="24"/>
        </w:rPr>
        <w:t>информације</w:t>
      </w:r>
      <w:proofErr w:type="spellEnd"/>
      <w:r>
        <w:rPr>
          <w:color w:val="000000"/>
          <w:spacing w:val="-4"/>
          <w:szCs w:val="24"/>
        </w:rPr>
        <w:t>.</w:t>
      </w:r>
    </w:p>
    <w:p w:rsidR="00646DBC" w:rsidRDefault="002A29DE">
      <w:pPr>
        <w:pStyle w:val="ListParagraph"/>
        <w:numPr>
          <w:ilvl w:val="0"/>
          <w:numId w:val="4"/>
        </w:numPr>
        <w:spacing w:before="60" w:after="60"/>
        <w:ind w:left="720" w:hanging="360"/>
      </w:pPr>
      <w:proofErr w:type="spellStart"/>
      <w:r>
        <w:t>Пријаве</w:t>
      </w:r>
      <w:proofErr w:type="spellEnd"/>
      <w:r>
        <w:t xml:space="preserve"> и </w:t>
      </w:r>
      <w:proofErr w:type="spellStart"/>
      <w:r>
        <w:t>приложена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подносиоцима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враћају</w:t>
      </w:r>
      <w:proofErr w:type="spellEnd"/>
      <w:r>
        <w:t>.</w:t>
      </w:r>
    </w:p>
    <w:p w:rsidR="00646DBC" w:rsidRDefault="00646DBC">
      <w:pPr>
        <w:spacing w:before="60" w:after="6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46DBC" w:rsidRDefault="002A29DE">
      <w:pPr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КРИТЕРИЈУМИ ЗА ИЗБОР ПРОЈЕКТА</w:t>
      </w:r>
    </w:p>
    <w:p w:rsidR="00646DBC" w:rsidRDefault="002A29DE">
      <w:pPr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ab/>
        <w:t>Критеријуми на основу којих ће се оцењивати пројекти пријављени по јавном позиву су:</w:t>
      </w:r>
    </w:p>
    <w:p w:rsidR="00646DBC" w:rsidRDefault="002A29DE">
      <w:pPr>
        <w:numPr>
          <w:ilvl w:val="0"/>
          <w:numId w:val="2"/>
        </w:numPr>
        <w:spacing w:after="120"/>
        <w:ind w:left="720" w:hanging="36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Усклађеност пројека са општим интересом у култури и циљевима и приоритетима јавног позива</w:t>
      </w:r>
    </w:p>
    <w:p w:rsidR="00646DBC" w:rsidRDefault="002A29DE">
      <w:pPr>
        <w:numPr>
          <w:ilvl w:val="0"/>
          <w:numId w:val="2"/>
        </w:numPr>
        <w:spacing w:after="120"/>
        <w:ind w:left="720" w:hanging="36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Квалитет и садржајна иновативност пројекта</w:t>
      </w:r>
    </w:p>
    <w:p w:rsidR="00646DBC" w:rsidRDefault="002A29DE">
      <w:pPr>
        <w:numPr>
          <w:ilvl w:val="0"/>
          <w:numId w:val="2"/>
        </w:numPr>
        <w:spacing w:after="120"/>
        <w:ind w:left="720" w:hanging="36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Капацитети потребни за реализацију пројекта и то стручни односно уметнички капацитети  и неопходни ресурси</w:t>
      </w:r>
    </w:p>
    <w:p w:rsidR="00646DBC" w:rsidRDefault="002A29DE">
      <w:pPr>
        <w:numPr>
          <w:ilvl w:val="0"/>
          <w:numId w:val="2"/>
        </w:numPr>
        <w:spacing w:after="120"/>
        <w:ind w:left="720" w:hanging="36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Финансијски план- разрађеност, усклађеност са планом активности  пројекта, економичност и укљученост више извора финансирања,</w:t>
      </w:r>
    </w:p>
    <w:p w:rsidR="00646DBC" w:rsidRDefault="002A29DE">
      <w:pPr>
        <w:numPr>
          <w:ilvl w:val="0"/>
          <w:numId w:val="2"/>
        </w:numPr>
        <w:spacing w:after="120"/>
        <w:ind w:left="720" w:hanging="36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Степен утицаја пројекта на квалитет културног живота заједнице</w:t>
      </w:r>
    </w:p>
    <w:p w:rsidR="00646DBC" w:rsidRDefault="00646DBC">
      <w:pPr>
        <w:spacing w:after="120"/>
        <w:ind w:left="360" w:hanging="36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</w:p>
    <w:p w:rsidR="00646DBC" w:rsidRDefault="002A29DE">
      <w:pPr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МЕРИЛА ЗА ИЗБОР ПРОЈЕКТА</w:t>
      </w:r>
    </w:p>
    <w:p w:rsidR="00646DBC" w:rsidRDefault="002A29DE">
      <w:pPr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Комисија врши оцену сваког пројекта на основу вредновања критеријума из претходног одељка.</w:t>
      </w:r>
    </w:p>
    <w:p w:rsidR="00646DBC" w:rsidRDefault="002A29DE">
      <w:pPr>
        <w:ind w:firstLine="708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Оцењивање пројеката на основу критеријума врши посебно сваки члан комисије, за сваки пројекат појединачно.</w:t>
      </w:r>
    </w:p>
    <w:p w:rsidR="00646DBC" w:rsidRDefault="002A29DE">
      <w:pPr>
        <w:ind w:firstLine="72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Комисија је обавезна да за сваки пројекат који се разматра сачини писмено образложење у коме се наводе разлози за прихватање или неприхватање пројекта.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46DBC" w:rsidRDefault="00646DBC">
      <w:pPr>
        <w:ind w:firstLine="720"/>
        <w:jc w:val="both"/>
      </w:pPr>
    </w:p>
    <w:p w:rsidR="00646DBC" w:rsidRDefault="002A29DE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ОПШТИНСКО ВЕЋЕ ОПШТИНЕ ВЛАДИЧИН ХАН,</w:t>
      </w:r>
    </w:p>
    <w:p w:rsidR="00646DBC" w:rsidRDefault="002A29DE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Број:</w:t>
      </w:r>
      <w:r w:rsidR="003C5A49" w:rsidRPr="00F258AF">
        <w:rPr>
          <w:rFonts w:ascii="Times New Roman" w:hAnsi="Times New Roman"/>
          <w:b/>
          <w:bCs/>
          <w:sz w:val="24"/>
          <w:szCs w:val="24"/>
        </w:rPr>
        <w:t>06-225/6-1/17-III</w:t>
      </w:r>
    </w:p>
    <w:p w:rsidR="00646DBC" w:rsidRDefault="00646DBC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</w:rPr>
      </w:pPr>
    </w:p>
    <w:p w:rsidR="00646DBC" w:rsidRDefault="002A29DE">
      <w:pPr>
        <w:tabs>
          <w:tab w:val="left" w:pos="0"/>
        </w:tabs>
        <w:spacing w:after="0"/>
        <w:ind w:right="3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  П Р Е Д С Е Д Н И К,</w:t>
      </w:r>
    </w:p>
    <w:p w:rsidR="00646DBC" w:rsidRDefault="002A29DE">
      <w:pPr>
        <w:spacing w:after="0"/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Горан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Младеновић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</w:t>
      </w:r>
    </w:p>
    <w:p w:rsidR="00646DBC" w:rsidRDefault="00646DBC">
      <w:pPr>
        <w:rPr>
          <w:rFonts w:cs="Calibri"/>
        </w:rPr>
      </w:pPr>
    </w:p>
    <w:sectPr w:rsidR="00646DBC" w:rsidSect="00646DBC">
      <w:endnotePr>
        <w:numFmt w:val="decimal"/>
      </w:endnotePr>
      <w:pgSz w:w="11907" w:h="16841"/>
      <w:pgMar w:top="567" w:right="473" w:bottom="994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charset w:val="8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89A"/>
    <w:multiLevelType w:val="singleLevel"/>
    <w:tmpl w:val="726E55A0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B5E2730"/>
    <w:multiLevelType w:val="hybridMultilevel"/>
    <w:tmpl w:val="3244C5BA"/>
    <w:name w:val="Numbered list 3"/>
    <w:lvl w:ilvl="0" w:tplc="E402E408">
      <w:start w:val="1"/>
      <w:numFmt w:val="decimal"/>
      <w:lvlText w:val="%1."/>
      <w:lvlJc w:val="left"/>
      <w:pPr>
        <w:ind w:left="360" w:firstLine="0"/>
      </w:pPr>
    </w:lvl>
    <w:lvl w:ilvl="1" w:tplc="C4F45428">
      <w:start w:val="1"/>
      <w:numFmt w:val="lowerLetter"/>
      <w:lvlText w:val="%2."/>
      <w:lvlJc w:val="left"/>
      <w:pPr>
        <w:ind w:left="1080" w:firstLine="0"/>
      </w:pPr>
    </w:lvl>
    <w:lvl w:ilvl="2" w:tplc="1CEAA068">
      <w:start w:val="1"/>
      <w:numFmt w:val="lowerRoman"/>
      <w:lvlText w:val="%3."/>
      <w:lvlJc w:val="left"/>
      <w:pPr>
        <w:ind w:left="1980" w:firstLine="0"/>
      </w:pPr>
    </w:lvl>
    <w:lvl w:ilvl="3" w:tplc="6616B9BE">
      <w:start w:val="1"/>
      <w:numFmt w:val="decimal"/>
      <w:lvlText w:val="%4."/>
      <w:lvlJc w:val="left"/>
      <w:pPr>
        <w:ind w:left="2520" w:firstLine="0"/>
      </w:pPr>
    </w:lvl>
    <w:lvl w:ilvl="4" w:tplc="467C7BD2">
      <w:start w:val="1"/>
      <w:numFmt w:val="lowerLetter"/>
      <w:lvlText w:val="%5."/>
      <w:lvlJc w:val="left"/>
      <w:pPr>
        <w:ind w:left="3240" w:firstLine="0"/>
      </w:pPr>
    </w:lvl>
    <w:lvl w:ilvl="5" w:tplc="B9FA4C40">
      <w:start w:val="1"/>
      <w:numFmt w:val="lowerRoman"/>
      <w:lvlText w:val="%6."/>
      <w:lvlJc w:val="left"/>
      <w:pPr>
        <w:ind w:left="4140" w:firstLine="0"/>
      </w:pPr>
    </w:lvl>
    <w:lvl w:ilvl="6" w:tplc="957E8B3C">
      <w:start w:val="1"/>
      <w:numFmt w:val="decimal"/>
      <w:lvlText w:val="%7."/>
      <w:lvlJc w:val="left"/>
      <w:pPr>
        <w:ind w:left="4680" w:firstLine="0"/>
      </w:pPr>
    </w:lvl>
    <w:lvl w:ilvl="7" w:tplc="ED50DA8C">
      <w:start w:val="1"/>
      <w:numFmt w:val="lowerLetter"/>
      <w:lvlText w:val="%8."/>
      <w:lvlJc w:val="left"/>
      <w:pPr>
        <w:ind w:left="5400" w:firstLine="0"/>
      </w:pPr>
    </w:lvl>
    <w:lvl w:ilvl="8" w:tplc="EA94B63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1D7412F8"/>
    <w:multiLevelType w:val="singleLevel"/>
    <w:tmpl w:val="AC445F28"/>
    <w:name w:val="Bullet 1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2DDB6380"/>
    <w:multiLevelType w:val="hybridMultilevel"/>
    <w:tmpl w:val="37FC39DC"/>
    <w:lvl w:ilvl="0" w:tplc="FD680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A3C963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8DCD7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1E7A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914B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3CCD53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F30154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3EAE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842DE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2E3D1928"/>
    <w:multiLevelType w:val="hybridMultilevel"/>
    <w:tmpl w:val="A2148878"/>
    <w:name w:val="Numbered list 5"/>
    <w:lvl w:ilvl="0" w:tplc="F0ACBCA4">
      <w:start w:val="1"/>
      <w:numFmt w:val="decimal"/>
      <w:lvlText w:val="%1."/>
      <w:lvlJc w:val="left"/>
      <w:pPr>
        <w:ind w:left="360" w:firstLine="0"/>
      </w:pPr>
    </w:lvl>
    <w:lvl w:ilvl="1" w:tplc="5824E8C4">
      <w:start w:val="1"/>
      <w:numFmt w:val="lowerLetter"/>
      <w:lvlText w:val="%2."/>
      <w:lvlJc w:val="left"/>
      <w:pPr>
        <w:ind w:left="1080" w:firstLine="0"/>
      </w:pPr>
    </w:lvl>
    <w:lvl w:ilvl="2" w:tplc="352C341A">
      <w:start w:val="1"/>
      <w:numFmt w:val="lowerRoman"/>
      <w:lvlText w:val="%3."/>
      <w:lvlJc w:val="left"/>
      <w:pPr>
        <w:ind w:left="1980" w:firstLine="0"/>
      </w:pPr>
    </w:lvl>
    <w:lvl w:ilvl="3" w:tplc="39F0F808">
      <w:start w:val="1"/>
      <w:numFmt w:val="decimal"/>
      <w:lvlText w:val="%4."/>
      <w:lvlJc w:val="left"/>
      <w:pPr>
        <w:ind w:left="2520" w:firstLine="0"/>
      </w:pPr>
    </w:lvl>
    <w:lvl w:ilvl="4" w:tplc="ED265FAA">
      <w:start w:val="1"/>
      <w:numFmt w:val="lowerLetter"/>
      <w:lvlText w:val="%5."/>
      <w:lvlJc w:val="left"/>
      <w:pPr>
        <w:ind w:left="3240" w:firstLine="0"/>
      </w:pPr>
    </w:lvl>
    <w:lvl w:ilvl="5" w:tplc="4FFCC852">
      <w:start w:val="1"/>
      <w:numFmt w:val="lowerRoman"/>
      <w:lvlText w:val="%6."/>
      <w:lvlJc w:val="left"/>
      <w:pPr>
        <w:ind w:left="4140" w:firstLine="0"/>
      </w:pPr>
    </w:lvl>
    <w:lvl w:ilvl="6" w:tplc="730E4208">
      <w:start w:val="1"/>
      <w:numFmt w:val="decimal"/>
      <w:lvlText w:val="%7."/>
      <w:lvlJc w:val="left"/>
      <w:pPr>
        <w:ind w:left="4680" w:firstLine="0"/>
      </w:pPr>
    </w:lvl>
    <w:lvl w:ilvl="7" w:tplc="B5842650">
      <w:start w:val="1"/>
      <w:numFmt w:val="lowerLetter"/>
      <w:lvlText w:val="%8."/>
      <w:lvlJc w:val="left"/>
      <w:pPr>
        <w:ind w:left="5400" w:firstLine="0"/>
      </w:pPr>
    </w:lvl>
    <w:lvl w:ilvl="8" w:tplc="51FA6204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2ECA4209"/>
    <w:multiLevelType w:val="singleLevel"/>
    <w:tmpl w:val="2946BB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3E0A4143"/>
    <w:multiLevelType w:val="singleLevel"/>
    <w:tmpl w:val="C1D469B6"/>
    <w:name w:val="Bullet 7"/>
    <w:lvl w:ilvl="0">
      <w:numFmt w:val="bullet"/>
      <w:lvlText w:val="*"/>
      <w:lvlJc w:val="left"/>
      <w:pPr>
        <w:tabs>
          <w:tab w:val="num" w:pos="0"/>
        </w:tabs>
        <w:ind w:left="0" w:firstLine="0"/>
      </w:pPr>
    </w:lvl>
  </w:abstractNum>
  <w:abstractNum w:abstractNumId="8">
    <w:nsid w:val="5CE05998"/>
    <w:multiLevelType w:val="singleLevel"/>
    <w:tmpl w:val="AEE40ACC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6253529C"/>
    <w:multiLevelType w:val="singleLevel"/>
    <w:tmpl w:val="FDC40074"/>
    <w:name w:val="Bullet 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</w:abstractNum>
  <w:abstractNum w:abstractNumId="10">
    <w:nsid w:val="62941AAF"/>
    <w:multiLevelType w:val="hybridMultilevel"/>
    <w:tmpl w:val="C60C3F1A"/>
    <w:name w:val="Numbered list 4"/>
    <w:lvl w:ilvl="0" w:tplc="405A36F8">
      <w:start w:val="1"/>
      <w:numFmt w:val="decimal"/>
      <w:lvlText w:val="%1."/>
      <w:lvlJc w:val="left"/>
      <w:pPr>
        <w:ind w:left="360" w:firstLine="0"/>
      </w:pPr>
    </w:lvl>
    <w:lvl w:ilvl="1" w:tplc="395264A8">
      <w:start w:val="1"/>
      <w:numFmt w:val="lowerLetter"/>
      <w:lvlText w:val="%2."/>
      <w:lvlJc w:val="left"/>
      <w:pPr>
        <w:ind w:left="1080" w:firstLine="0"/>
      </w:pPr>
    </w:lvl>
    <w:lvl w:ilvl="2" w:tplc="ED4408B8">
      <w:start w:val="1"/>
      <w:numFmt w:val="lowerRoman"/>
      <w:lvlText w:val="%3."/>
      <w:lvlJc w:val="left"/>
      <w:pPr>
        <w:ind w:left="1980" w:firstLine="0"/>
      </w:pPr>
    </w:lvl>
    <w:lvl w:ilvl="3" w:tplc="CCA808F4">
      <w:start w:val="1"/>
      <w:numFmt w:val="decimal"/>
      <w:lvlText w:val="%4."/>
      <w:lvlJc w:val="left"/>
      <w:pPr>
        <w:ind w:left="2520" w:firstLine="0"/>
      </w:pPr>
    </w:lvl>
    <w:lvl w:ilvl="4" w:tplc="CDF8393E">
      <w:start w:val="1"/>
      <w:numFmt w:val="lowerLetter"/>
      <w:lvlText w:val="%5."/>
      <w:lvlJc w:val="left"/>
      <w:pPr>
        <w:ind w:left="3240" w:firstLine="0"/>
      </w:pPr>
    </w:lvl>
    <w:lvl w:ilvl="5" w:tplc="543AB136">
      <w:start w:val="1"/>
      <w:numFmt w:val="lowerRoman"/>
      <w:lvlText w:val="%6."/>
      <w:lvlJc w:val="left"/>
      <w:pPr>
        <w:ind w:left="4140" w:firstLine="0"/>
      </w:pPr>
    </w:lvl>
    <w:lvl w:ilvl="6" w:tplc="D9205FBC">
      <w:start w:val="1"/>
      <w:numFmt w:val="decimal"/>
      <w:lvlText w:val="%7."/>
      <w:lvlJc w:val="left"/>
      <w:pPr>
        <w:ind w:left="4680" w:firstLine="0"/>
      </w:pPr>
    </w:lvl>
    <w:lvl w:ilvl="7" w:tplc="0E123B7A">
      <w:start w:val="1"/>
      <w:numFmt w:val="lowerLetter"/>
      <w:lvlText w:val="%8."/>
      <w:lvlJc w:val="left"/>
      <w:pPr>
        <w:ind w:left="5400" w:firstLine="0"/>
      </w:pPr>
    </w:lvl>
    <w:lvl w:ilvl="8" w:tplc="2418172C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648A5C12"/>
    <w:multiLevelType w:val="singleLevel"/>
    <w:tmpl w:val="BC3C0014"/>
    <w:name w:val="Bullet 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2">
    <w:nsid w:val="678472BC"/>
    <w:multiLevelType w:val="singleLevel"/>
    <w:tmpl w:val="B740A2A0"/>
    <w:name w:val="Numbered list 1"/>
    <w:lvl w:ilvl="0">
      <w:numFmt w:val="bullet"/>
      <w:lvlText w:val="*"/>
      <w:lvlJc w:val="left"/>
      <w:pPr>
        <w:ind w:left="0" w:firstLine="0"/>
      </w:pPr>
    </w:lvl>
  </w:abstractNum>
  <w:abstractNum w:abstractNumId="13">
    <w:nsid w:val="679E7307"/>
    <w:multiLevelType w:val="singleLevel"/>
    <w:tmpl w:val="34A4D1CA"/>
    <w:name w:val="Bullet 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7DC12693"/>
    <w:multiLevelType w:val="singleLevel"/>
    <w:tmpl w:val="FB2EB3EE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646DBC"/>
    <w:rsid w:val="000653DA"/>
    <w:rsid w:val="0018650D"/>
    <w:rsid w:val="002A29DE"/>
    <w:rsid w:val="002C183D"/>
    <w:rsid w:val="003C5A49"/>
    <w:rsid w:val="003F4DA5"/>
    <w:rsid w:val="004D5C73"/>
    <w:rsid w:val="00646DBC"/>
    <w:rsid w:val="00651049"/>
    <w:rsid w:val="00873AE5"/>
    <w:rsid w:val="008B1585"/>
    <w:rsid w:val="00AD11C0"/>
    <w:rsid w:val="00D159EB"/>
    <w:rsid w:val="00F2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rsid w:val="0064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qFormat/>
    <w:rsid w:val="00646DBC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646DBC"/>
    <w:rPr>
      <w:b/>
      <w:bCs/>
    </w:rPr>
  </w:style>
  <w:style w:type="paragraph" w:styleId="BalloonText">
    <w:name w:val="Balloon Text"/>
    <w:basedOn w:val="Normal"/>
    <w:qFormat/>
    <w:rsid w:val="00646D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46DBC"/>
    <w:pPr>
      <w:ind w:left="720"/>
      <w:contextualSpacing/>
      <w:jc w:val="both"/>
    </w:pPr>
    <w:rPr>
      <w:rFonts w:ascii="Times New Roman" w:hAnsi="Times New Roman"/>
      <w:sz w:val="24"/>
      <w:lang w:val="en-US"/>
    </w:rPr>
  </w:style>
  <w:style w:type="paragraph" w:customStyle="1" w:styleId="1">
    <w:name w:val="Пасус са листом1"/>
    <w:basedOn w:val="Normal"/>
    <w:qFormat/>
    <w:rsid w:val="00646DBC"/>
    <w:pPr>
      <w:suppressAutoHyphens/>
      <w:spacing w:after="0" w:line="240" w:lineRule="auto"/>
      <w:ind w:left="720"/>
    </w:pPr>
    <w:rPr>
      <w:rFonts w:eastAsia="WenQuanYi Zen Hei" w:cs="Calibri"/>
      <w:kern w:val="1"/>
      <w:sz w:val="20"/>
      <w:lang w:val="en-US"/>
    </w:rPr>
  </w:style>
  <w:style w:type="character" w:customStyle="1" w:styleId="CommentReference1">
    <w:name w:val="Comment Reference1"/>
    <w:basedOn w:val="DefaultParagraphFont"/>
    <w:rsid w:val="00646DBC"/>
    <w:rPr>
      <w:sz w:val="16"/>
      <w:szCs w:val="16"/>
    </w:rPr>
  </w:style>
  <w:style w:type="character" w:customStyle="1" w:styleId="CommentTextChar">
    <w:name w:val="Comment Text Char"/>
    <w:basedOn w:val="DefaultParagraphFont"/>
    <w:rsid w:val="00646DBC"/>
    <w:rPr>
      <w:sz w:val="20"/>
      <w:szCs w:val="20"/>
    </w:rPr>
  </w:style>
  <w:style w:type="character" w:customStyle="1" w:styleId="CommentSubjectChar">
    <w:name w:val="Comment Subject Char"/>
    <w:basedOn w:val="CommentTextChar"/>
    <w:rsid w:val="00646DBC"/>
    <w:rPr>
      <w:b/>
      <w:bCs w:val="0"/>
    </w:rPr>
  </w:style>
  <w:style w:type="character" w:customStyle="1" w:styleId="BalloonTextChar">
    <w:name w:val="Balloon Text Char"/>
    <w:basedOn w:val="DefaultParagraphFont"/>
    <w:rsid w:val="0064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annotationtext" w:customStyle="1">
    <w:name w:val="annotation text"/>
    <w:qFormat/>
    <w:basedOn w:val="Normal"/>
    <w:pPr>
      <w:spacing w:line="240" w:lineRule="auto"/>
    </w:pPr>
    <w:rPr>
      <w:sz w:val="20"/>
      <w:szCs w:val="20"/>
    </w:rPr>
  </w:style>
  <w:style w:type="paragraph" w:styleId="annotationsubject" w:customStyle="1">
    <w:name w:val="annotation subject"/>
    <w:qFormat/>
    <w:basedOn w:val="annotationtext"/>
    <w:next w:val="annotationtext"/>
    <w:rPr>
      <w:b/>
      <w:bCs/>
    </w:rPr>
  </w:style>
  <w:style w:type="paragraph" w:styleId="BalloonText">
    <w:name w:val="Balloon Text"/>
    <w:qFormat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qFormat/>
    <w:basedOn w:val="Normal"/>
    <w:pPr>
      <w:ind w:left="720"/>
      <w:spacing/>
      <w:contextualSpacing/>
      <w:jc w:val="both"/>
    </w:pPr>
    <w:rPr>
      <w:rFonts w:ascii="Times New Roman" w:hAnsi="Times New Roman"/>
      <w:sz w:val="24"/>
      <w:lang w:val="en-us"/>
    </w:rPr>
  </w:style>
  <w:style w:type="paragraph" w:styleId="1" w:customStyle="1">
    <w:name w:val="Пасус са листом1"/>
    <w:qFormat/>
    <w:basedOn w:val="Normal"/>
    <w:pPr>
      <w:ind w:left="720"/>
      <w:spacing w:after="0" w:line="240" w:lineRule="auto"/>
      <w:suppressAutoHyphens/>
    </w:pPr>
    <w:rPr>
      <w:rFonts w:eastAsia="WenQuanYi Zen Hei" w:cs="Calibri"/>
      <w:kern w:val="1"/>
      <w:sz w:val="20"/>
      <w:lang w:val="en-us"/>
    </w:rPr>
  </w:style>
  <w:style w:type="character" w:styleId="DefaultParagraphFont" w:default="1">
    <w:name w:val="Default Paragraph Font"/>
    <w:rPr>
      <w:sz w:val="20"/>
      <w:szCs w:val="20"/>
      <w:lang w:val="en-us"/>
    </w:rPr>
  </w:style>
  <w:style w:type="character" w:styleId="annotationreference" w:customStyle="1">
    <w:name w:val="annotation reference"/>
    <w:basedOn w:val="DefaultParagraphFont"/>
    <w:rPr>
      <w:sz w:val="16"/>
      <w:szCs w:val="16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character" w:styleId="CommentSubjectChar" w:customStyle="1">
    <w:name w:val="Comment Subject Char"/>
    <w:basedOn w:val="CommentTextChar"/>
    <w:rPr>
      <w:b/>
      <w:bCs w:val="0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PCDJ</cp:lastModifiedBy>
  <cp:revision>14</cp:revision>
  <cp:lastPrinted>2017-02-06T09:20:00Z</cp:lastPrinted>
  <dcterms:created xsi:type="dcterms:W3CDTF">2017-02-06T09:14:00Z</dcterms:created>
  <dcterms:modified xsi:type="dcterms:W3CDTF">2017-12-29T10:40:00Z</dcterms:modified>
</cp:coreProperties>
</file>